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2594B" w14:textId="5395B575" w:rsidR="00025668" w:rsidRDefault="00025668" w:rsidP="00025668">
      <w:pPr>
        <w:pStyle w:val="Header"/>
        <w:tabs>
          <w:tab w:val="clear" w:pos="4153"/>
          <w:tab w:val="clear" w:pos="8306"/>
          <w:tab w:val="right" w:pos="9026"/>
        </w:tabs>
        <w:rPr>
          <w:b/>
          <w:color w:val="FF0000"/>
          <w:sz w:val="24"/>
        </w:rPr>
      </w:pPr>
      <w:bookmarkStart w:id="0" w:name="_Hlk512609091"/>
      <w:r>
        <w:rPr>
          <w:b/>
          <w:sz w:val="24"/>
        </w:rPr>
        <w:t>3GPP TSG-RAN WG1 Meeting #102-e</w:t>
      </w:r>
      <w:r>
        <w:rPr>
          <w:b/>
          <w:sz w:val="24"/>
        </w:rPr>
        <w:tab/>
        <w:t>R1-20</w:t>
      </w:r>
      <w:r w:rsidR="00C37F0F">
        <w:rPr>
          <w:b/>
          <w:sz w:val="24"/>
        </w:rPr>
        <w:t>06007</w:t>
      </w:r>
    </w:p>
    <w:p w14:paraId="2CB88244" w14:textId="77777777" w:rsidR="00025668" w:rsidRDefault="00025668" w:rsidP="00025668">
      <w:pPr>
        <w:pStyle w:val="Header"/>
        <w:rPr>
          <w:b/>
          <w:sz w:val="24"/>
        </w:rPr>
      </w:pPr>
      <w:r>
        <w:rPr>
          <w:b/>
          <w:sz w:val="24"/>
        </w:rPr>
        <w:t>e-Meeting, August 17 – 28, 2020</w:t>
      </w:r>
      <w:bookmarkEnd w:id="0"/>
    </w:p>
    <w:p w14:paraId="776F4C14" w14:textId="77777777" w:rsidR="00443FFF" w:rsidRDefault="00443FFF" w:rsidP="00443FFF"/>
    <w:p w14:paraId="03C6A536" w14:textId="34BBA458"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rsidR="009B6543">
        <w:t>7</w:t>
      </w:r>
    </w:p>
    <w:p w14:paraId="06A83340" w14:textId="364FFFF6"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C37F0F" w:rsidRPr="00C37F0F">
        <w:rPr>
          <w:color w:val="000000" w:themeColor="text1"/>
        </w:rPr>
        <w:t>Remaining open issues in NR Uu controlling LTE sidelink</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3616170D" w14:textId="77777777" w:rsidR="00F30FD8" w:rsidRPr="00BC0557" w:rsidRDefault="00F30FD8" w:rsidP="00F30FD8">
      <w:pPr>
        <w:spacing w:after="120"/>
        <w:rPr>
          <w:b/>
          <w:sz w:val="22"/>
        </w:rPr>
      </w:pPr>
      <w:r w:rsidRPr="00BC0557">
        <w:rPr>
          <w:b/>
          <w:sz w:val="22"/>
        </w:rPr>
        <w:t>1. Introduction</w:t>
      </w:r>
    </w:p>
    <w:p w14:paraId="087F1A74" w14:textId="349D6EF1" w:rsidR="00F30FD8" w:rsidRPr="00582FFA" w:rsidRDefault="00F30FD8" w:rsidP="00F30FD8">
      <w:pPr>
        <w:pStyle w:val="BodyText"/>
        <w:spacing w:after="120"/>
        <w:rPr>
          <w:color w:val="000000" w:themeColor="text1"/>
          <w:sz w:val="20"/>
          <w:szCs w:val="20"/>
        </w:rPr>
      </w:pPr>
      <w:r>
        <w:rPr>
          <w:color w:val="000000" w:themeColor="text1"/>
          <w:sz w:val="20"/>
          <w:szCs w:val="20"/>
        </w:rPr>
        <w:t xml:space="preserve">During the </w:t>
      </w:r>
      <w:r>
        <w:rPr>
          <w:color w:val="000000" w:themeColor="text1"/>
          <w:sz w:val="20"/>
          <w:szCs w:val="20"/>
        </w:rPr>
        <w:t>past two meetings</w:t>
      </w:r>
      <w:r>
        <w:rPr>
          <w:color w:val="000000" w:themeColor="text1"/>
          <w:sz w:val="20"/>
          <w:szCs w:val="20"/>
        </w:rPr>
        <w:t xml:space="preserve"> RAN1#100bis-e </w:t>
      </w:r>
      <w:r>
        <w:rPr>
          <w:color w:val="000000" w:themeColor="text1"/>
          <w:sz w:val="20"/>
          <w:szCs w:val="20"/>
        </w:rPr>
        <w:t>and RAN1#101-e</w:t>
      </w:r>
      <w:r>
        <w:rPr>
          <w:color w:val="000000" w:themeColor="text1"/>
          <w:sz w:val="20"/>
          <w:szCs w:val="20"/>
        </w:rPr>
        <w:t>, open loop power control aspect of NR Uu controlling LTE sidelink was discuss</w:t>
      </w:r>
      <w:r>
        <w:rPr>
          <w:color w:val="000000" w:themeColor="text1"/>
          <w:sz w:val="20"/>
          <w:szCs w:val="20"/>
        </w:rPr>
        <w:t>ed</w:t>
      </w:r>
      <w:r>
        <w:rPr>
          <w:color w:val="000000" w:themeColor="text1"/>
          <w:sz w:val="20"/>
          <w:szCs w:val="20"/>
        </w:rPr>
        <w:t xml:space="preserve">. Several deployment scenarios were identified that may potentially need some power control for the LTE sidelink operation. </w:t>
      </w:r>
      <w:r w:rsidRPr="000245F2">
        <w:rPr>
          <w:color w:val="000000" w:themeColor="text1"/>
          <w:sz w:val="20"/>
        </w:rPr>
        <w:t xml:space="preserve">In this contribution, </w:t>
      </w:r>
      <w:r>
        <w:rPr>
          <w:color w:val="000000" w:themeColor="text1"/>
          <w:sz w:val="20"/>
        </w:rPr>
        <w:t xml:space="preserve">we </w:t>
      </w:r>
      <w:r w:rsidRPr="000245F2">
        <w:rPr>
          <w:color w:val="000000" w:themeColor="text1"/>
          <w:sz w:val="20"/>
        </w:rPr>
        <w:t>discuss the</w:t>
      </w:r>
      <w:r>
        <w:rPr>
          <w:color w:val="000000" w:themeColor="text1"/>
          <w:sz w:val="20"/>
        </w:rPr>
        <w:t xml:space="preserve"> legitimacy of these scenarios and consider what type of power control is needed for the LTE sidelink operation.</w:t>
      </w:r>
    </w:p>
    <w:p w14:paraId="0F26879F" w14:textId="77777777" w:rsidR="00F30FD8" w:rsidRPr="00695CCB" w:rsidRDefault="00F30FD8" w:rsidP="00F30FD8">
      <w:pPr>
        <w:pStyle w:val="Heading1"/>
        <w:numPr>
          <w:ilvl w:val="0"/>
          <w:numId w:val="0"/>
        </w:numPr>
        <w:rPr>
          <w:sz w:val="22"/>
        </w:rPr>
      </w:pPr>
      <w:r>
        <w:rPr>
          <w:sz w:val="22"/>
        </w:rPr>
        <w:t>2. Discussion</w:t>
      </w:r>
    </w:p>
    <w:p w14:paraId="542D8A12" w14:textId="77777777" w:rsidR="00F30FD8" w:rsidRPr="008548EE" w:rsidRDefault="00F30FD8" w:rsidP="00F30FD8">
      <w:pPr>
        <w:spacing w:before="240" w:after="120"/>
        <w:rPr>
          <w:b/>
          <w:i/>
          <w:color w:val="000000" w:themeColor="text1"/>
          <w:sz w:val="20"/>
          <w:szCs w:val="20"/>
          <w:u w:val="single"/>
        </w:rPr>
      </w:pPr>
      <w:r w:rsidRPr="008548EE">
        <w:rPr>
          <w:b/>
          <w:i/>
          <w:color w:val="000000" w:themeColor="text1"/>
          <w:sz w:val="20"/>
          <w:szCs w:val="20"/>
          <w:u w:val="single"/>
        </w:rPr>
        <w:t xml:space="preserve">Scenario 1) NR Uu </w:t>
      </w:r>
      <w:r>
        <w:rPr>
          <w:b/>
          <w:i/>
          <w:color w:val="000000" w:themeColor="text1"/>
          <w:sz w:val="20"/>
          <w:szCs w:val="20"/>
          <w:u w:val="single"/>
        </w:rPr>
        <w:t>scheduling</w:t>
      </w:r>
      <w:r w:rsidRPr="008548EE">
        <w:rPr>
          <w:b/>
          <w:i/>
          <w:color w:val="000000" w:themeColor="text1"/>
          <w:sz w:val="20"/>
          <w:szCs w:val="20"/>
          <w:u w:val="single"/>
        </w:rPr>
        <w:t xml:space="preserve"> LTE SL on the same carrier</w:t>
      </w:r>
    </w:p>
    <w:p w14:paraId="7216ADED" w14:textId="77777777" w:rsidR="00F30FD8" w:rsidRDefault="00F30FD8" w:rsidP="00F30FD8">
      <w:pPr>
        <w:spacing w:before="120" w:after="120"/>
        <w:rPr>
          <w:bCs/>
          <w:iCs/>
          <w:color w:val="000000" w:themeColor="text1"/>
          <w:sz w:val="20"/>
          <w:szCs w:val="20"/>
        </w:rPr>
      </w:pPr>
      <w:r w:rsidRPr="008548EE">
        <w:rPr>
          <w:bCs/>
          <w:iCs/>
          <w:color w:val="000000" w:themeColor="text1"/>
          <w:sz w:val="20"/>
          <w:szCs w:val="20"/>
        </w:rPr>
        <w:t xml:space="preserve">One of the </w:t>
      </w:r>
      <w:r>
        <w:rPr>
          <w:bCs/>
          <w:iCs/>
          <w:color w:val="000000" w:themeColor="text1"/>
          <w:sz w:val="20"/>
          <w:szCs w:val="20"/>
        </w:rPr>
        <w:t>key</w:t>
      </w:r>
      <w:r w:rsidRPr="008548EE">
        <w:rPr>
          <w:bCs/>
          <w:iCs/>
          <w:color w:val="000000" w:themeColor="text1"/>
          <w:sz w:val="20"/>
          <w:szCs w:val="20"/>
        </w:rPr>
        <w:t xml:space="preserve"> scenarios for </w:t>
      </w:r>
      <w:r>
        <w:rPr>
          <w:bCs/>
          <w:iCs/>
          <w:color w:val="000000" w:themeColor="text1"/>
          <w:sz w:val="20"/>
          <w:szCs w:val="20"/>
        </w:rPr>
        <w:t xml:space="preserve">operating </w:t>
      </w:r>
      <w:r w:rsidRPr="008548EE">
        <w:rPr>
          <w:bCs/>
          <w:iCs/>
          <w:color w:val="000000" w:themeColor="text1"/>
          <w:sz w:val="20"/>
          <w:szCs w:val="20"/>
        </w:rPr>
        <w:t>LTE</w:t>
      </w:r>
      <w:r>
        <w:rPr>
          <w:bCs/>
          <w:iCs/>
          <w:color w:val="000000" w:themeColor="text1"/>
          <w:sz w:val="20"/>
          <w:szCs w:val="20"/>
        </w:rPr>
        <w:t>-V2X</w:t>
      </w:r>
      <w:r w:rsidRPr="008548EE">
        <w:rPr>
          <w:bCs/>
          <w:iCs/>
          <w:color w:val="000000" w:themeColor="text1"/>
          <w:sz w:val="20"/>
          <w:szCs w:val="20"/>
        </w:rPr>
        <w:t xml:space="preserve"> is in the ITS spectrum, where </w:t>
      </w:r>
      <w:r>
        <w:rPr>
          <w:bCs/>
          <w:iCs/>
          <w:color w:val="000000" w:themeColor="text1"/>
          <w:sz w:val="20"/>
          <w:szCs w:val="20"/>
        </w:rPr>
        <w:t>all road users can freely exchange their basic road safety messages with each other on a common radio frequency without any commercial</w:t>
      </w:r>
      <w:r w:rsidRPr="008548EE">
        <w:rPr>
          <w:bCs/>
          <w:iCs/>
          <w:color w:val="000000" w:themeColor="text1"/>
          <w:sz w:val="20"/>
          <w:szCs w:val="20"/>
        </w:rPr>
        <w:t xml:space="preserve"> operator control </w:t>
      </w:r>
      <w:r>
        <w:rPr>
          <w:bCs/>
          <w:iCs/>
          <w:color w:val="000000" w:themeColor="text1"/>
          <w:sz w:val="20"/>
          <w:szCs w:val="20"/>
        </w:rPr>
        <w:t>and</w:t>
      </w:r>
      <w:r w:rsidRPr="008548EE">
        <w:rPr>
          <w:bCs/>
          <w:iCs/>
          <w:color w:val="000000" w:themeColor="text1"/>
          <w:sz w:val="20"/>
          <w:szCs w:val="20"/>
        </w:rPr>
        <w:t xml:space="preserve"> management. </w:t>
      </w:r>
      <w:r>
        <w:rPr>
          <w:bCs/>
          <w:iCs/>
          <w:color w:val="000000" w:themeColor="text1"/>
          <w:sz w:val="20"/>
          <w:szCs w:val="20"/>
        </w:rPr>
        <w:t xml:space="preserve">Currently this is the only scenario envisioned by the original WI scope in Rel-14, and so far up to now no request has been made by any organization to extend this operation to any other frequency band. </w:t>
      </w:r>
      <w:r w:rsidRPr="008548EE">
        <w:rPr>
          <w:bCs/>
          <w:iCs/>
          <w:color w:val="000000" w:themeColor="text1"/>
          <w:sz w:val="20"/>
          <w:szCs w:val="20"/>
        </w:rPr>
        <w:t xml:space="preserve">As such, RAN4 defined </w:t>
      </w:r>
      <w:r>
        <w:rPr>
          <w:bCs/>
          <w:iCs/>
          <w:color w:val="000000" w:themeColor="text1"/>
          <w:sz w:val="20"/>
          <w:szCs w:val="20"/>
        </w:rPr>
        <w:t xml:space="preserve">RF requirements </w:t>
      </w:r>
      <w:r w:rsidRPr="008548EE">
        <w:rPr>
          <w:bCs/>
          <w:iCs/>
          <w:color w:val="000000" w:themeColor="text1"/>
          <w:sz w:val="20"/>
          <w:szCs w:val="20"/>
        </w:rPr>
        <w:t xml:space="preserve">only </w:t>
      </w:r>
      <w:r>
        <w:rPr>
          <w:bCs/>
          <w:iCs/>
          <w:color w:val="000000" w:themeColor="text1"/>
          <w:sz w:val="20"/>
          <w:szCs w:val="20"/>
        </w:rPr>
        <w:t>for</w:t>
      </w:r>
      <w:r w:rsidRPr="008548EE">
        <w:rPr>
          <w:bCs/>
          <w:iCs/>
          <w:color w:val="000000" w:themeColor="text1"/>
          <w:sz w:val="20"/>
          <w:szCs w:val="20"/>
        </w:rPr>
        <w:t xml:space="preserve"> </w:t>
      </w:r>
      <w:r>
        <w:rPr>
          <w:bCs/>
          <w:iCs/>
          <w:color w:val="000000" w:themeColor="text1"/>
          <w:sz w:val="20"/>
          <w:szCs w:val="20"/>
        </w:rPr>
        <w:t xml:space="preserve">the </w:t>
      </w:r>
      <w:r w:rsidRPr="008548EE">
        <w:rPr>
          <w:bCs/>
          <w:iCs/>
          <w:color w:val="000000" w:themeColor="text1"/>
          <w:sz w:val="20"/>
          <w:szCs w:val="20"/>
        </w:rPr>
        <w:t>ITS spectrum in 5.9GHz band for LT</w:t>
      </w:r>
      <w:r>
        <w:rPr>
          <w:bCs/>
          <w:iCs/>
          <w:color w:val="000000" w:themeColor="text1"/>
          <w:sz w:val="20"/>
          <w:szCs w:val="20"/>
        </w:rPr>
        <w:t>E-V2X</w:t>
      </w:r>
      <w:r w:rsidRPr="008548EE">
        <w:rPr>
          <w:bCs/>
          <w:iCs/>
          <w:color w:val="000000" w:themeColor="text1"/>
          <w:sz w:val="20"/>
          <w:szCs w:val="20"/>
        </w:rPr>
        <w:t>.</w:t>
      </w:r>
    </w:p>
    <w:p w14:paraId="6B1B51AF" w14:textId="77777777" w:rsidR="00F30FD8" w:rsidRDefault="00F30FD8" w:rsidP="00F30FD8">
      <w:pPr>
        <w:spacing w:before="120" w:after="120"/>
        <w:rPr>
          <w:bCs/>
          <w:iCs/>
          <w:color w:val="000000" w:themeColor="text1"/>
          <w:sz w:val="20"/>
          <w:szCs w:val="20"/>
        </w:rPr>
      </w:pPr>
      <w:r>
        <w:rPr>
          <w:bCs/>
          <w:iCs/>
          <w:color w:val="000000" w:themeColor="text1"/>
          <w:sz w:val="20"/>
          <w:szCs w:val="20"/>
        </w:rPr>
        <w:t>From radio spectrum regulation perspective, it is not clear whether a mixed use of radio access technologies in the same licensed carrier and at the same time is permitted in all regions. Furthermore, from the technical perspective, it is also not clear whether NR Uu and LTE SL are able to operate on the same carrier at the same time, due to at least issues relating to numerology, radio waveform compatibility, centre frequency alignment, and BWP definition. From procedure’s perspective, this operation has definitely been ruled out by both RAN1 and RAN4’s LS to RAN2 in the past (R1-1911720, R4-</w:t>
      </w:r>
      <w:r w:rsidRPr="00386154">
        <w:rPr>
          <w:bCs/>
          <w:iCs/>
          <w:color w:val="000000" w:themeColor="text1"/>
          <w:sz w:val="20"/>
          <w:szCs w:val="20"/>
        </w:rPr>
        <w:t>1912874</w:t>
      </w:r>
      <w:r>
        <w:rPr>
          <w:bCs/>
          <w:iCs/>
          <w:color w:val="000000" w:themeColor="text1"/>
          <w:sz w:val="20"/>
          <w:szCs w:val="20"/>
        </w:rPr>
        <w:t xml:space="preserve"> and R4-1915985). In RAN1’s LS, it clearly stated that “</w:t>
      </w:r>
      <w:r w:rsidRPr="004B2249">
        <w:rPr>
          <w:bCs/>
          <w:i/>
          <w:color w:val="000000" w:themeColor="text1"/>
          <w:sz w:val="20"/>
          <w:szCs w:val="20"/>
        </w:rPr>
        <w:t>RAN1 has so far not considered such operating scenario where UL and SL transmissions from different RAT are in the shared/same carrier, and RAN1 has no plan to discuss this in Rel-16.</w:t>
      </w:r>
      <w:r>
        <w:rPr>
          <w:bCs/>
          <w:iCs/>
          <w:color w:val="000000" w:themeColor="text1"/>
          <w:sz w:val="20"/>
          <w:szCs w:val="20"/>
        </w:rPr>
        <w:t>”</w:t>
      </w:r>
    </w:p>
    <w:p w14:paraId="121998B1" w14:textId="77777777" w:rsidR="00F30FD8" w:rsidRDefault="00F30FD8" w:rsidP="00F30FD8">
      <w:pPr>
        <w:spacing w:before="120" w:after="120"/>
        <w:rPr>
          <w:bCs/>
          <w:iCs/>
          <w:color w:val="000000" w:themeColor="text1"/>
          <w:sz w:val="20"/>
          <w:szCs w:val="20"/>
        </w:rPr>
      </w:pPr>
      <w:r>
        <w:rPr>
          <w:bCs/>
          <w:iCs/>
          <w:color w:val="000000" w:themeColor="text1"/>
          <w:sz w:val="20"/>
          <w:szCs w:val="20"/>
        </w:rPr>
        <w:t>All in all, this operation is not supported in RAN1/2/4 and there is no plan to support this operation at least in Rel-16. Therefore, we make the following proposal.</w:t>
      </w:r>
    </w:p>
    <w:p w14:paraId="7B038A5A" w14:textId="77777777" w:rsidR="00F30FD8" w:rsidRPr="004B2249" w:rsidRDefault="00F30FD8" w:rsidP="00F30FD8">
      <w:pPr>
        <w:spacing w:before="120" w:after="120"/>
        <w:rPr>
          <w:b/>
          <w:i/>
          <w:color w:val="000000" w:themeColor="text1"/>
          <w:sz w:val="20"/>
          <w:szCs w:val="20"/>
        </w:rPr>
      </w:pPr>
      <w:r w:rsidRPr="004B2249">
        <w:rPr>
          <w:b/>
          <w:i/>
          <w:color w:val="000000" w:themeColor="text1"/>
          <w:sz w:val="20"/>
          <w:szCs w:val="20"/>
        </w:rPr>
        <w:t xml:space="preserve">Proposal 1: It is proposed at least in RAN1 and within Rel-16, </w:t>
      </w:r>
      <w:r>
        <w:rPr>
          <w:b/>
          <w:i/>
          <w:color w:val="000000" w:themeColor="text1"/>
          <w:sz w:val="20"/>
          <w:szCs w:val="20"/>
        </w:rPr>
        <w:t>RAN1</w:t>
      </w:r>
      <w:r w:rsidRPr="004B2249">
        <w:rPr>
          <w:b/>
          <w:i/>
          <w:color w:val="000000" w:themeColor="text1"/>
          <w:sz w:val="20"/>
          <w:szCs w:val="20"/>
        </w:rPr>
        <w:t xml:space="preserve"> do</w:t>
      </w:r>
      <w:r>
        <w:rPr>
          <w:b/>
          <w:i/>
          <w:color w:val="000000" w:themeColor="text1"/>
          <w:sz w:val="20"/>
          <w:szCs w:val="20"/>
        </w:rPr>
        <w:t>es</w:t>
      </w:r>
      <w:r w:rsidRPr="004B2249">
        <w:rPr>
          <w:b/>
          <w:i/>
          <w:color w:val="000000" w:themeColor="text1"/>
          <w:sz w:val="20"/>
          <w:szCs w:val="20"/>
        </w:rPr>
        <w:t>n’t consider and discuss again the scenario of NR Uu and LTE SL operating / controlling from one to another on the same carrier.</w:t>
      </w:r>
    </w:p>
    <w:p w14:paraId="51DF868C" w14:textId="77777777" w:rsidR="00F30FD8" w:rsidRPr="008548EE" w:rsidRDefault="00F30FD8" w:rsidP="00F30FD8">
      <w:pPr>
        <w:spacing w:before="240" w:after="120"/>
        <w:rPr>
          <w:b/>
          <w:i/>
          <w:color w:val="000000" w:themeColor="text1"/>
          <w:sz w:val="20"/>
          <w:szCs w:val="20"/>
          <w:u w:val="single"/>
        </w:rPr>
      </w:pPr>
      <w:r w:rsidRPr="008548EE">
        <w:rPr>
          <w:b/>
          <w:i/>
          <w:color w:val="000000" w:themeColor="text1"/>
          <w:sz w:val="20"/>
          <w:szCs w:val="20"/>
          <w:u w:val="single"/>
        </w:rPr>
        <w:t xml:space="preserve">Scenario 2) LTE Uu and LTE SL on the same carrier, </w:t>
      </w:r>
    </w:p>
    <w:p w14:paraId="07397969" w14:textId="77777777" w:rsidR="00F30FD8" w:rsidRDefault="00F30FD8" w:rsidP="00F30FD8">
      <w:pPr>
        <w:spacing w:before="120" w:after="120"/>
        <w:rPr>
          <w:bCs/>
          <w:iCs/>
          <w:color w:val="000000" w:themeColor="text1"/>
          <w:sz w:val="20"/>
          <w:szCs w:val="20"/>
        </w:rPr>
      </w:pPr>
      <w:r>
        <w:rPr>
          <w:bCs/>
          <w:iCs/>
          <w:color w:val="000000" w:themeColor="text1"/>
          <w:sz w:val="20"/>
          <w:szCs w:val="20"/>
        </w:rPr>
        <w:t xml:space="preserve">During the LTE ProSe work item, LTE Uu and LTE SL (being control by the LTE Uu) operating on the same carrier has always been one of the key scenarios for the ProSe D2D in Rel-12. When they are operating on the same carrier, open loop power control based on DL pathloss from the eNB is already supported. However, if the operating scenario is about NR Uu (on a different carrier) controlling/scheduling LTE SL while the LTE SL is on the same carrier with an LTE Uu, it would </w:t>
      </w:r>
      <w:proofErr w:type="spellStart"/>
      <w:r>
        <w:rPr>
          <w:bCs/>
          <w:iCs/>
          <w:color w:val="000000" w:themeColor="text1"/>
          <w:sz w:val="20"/>
          <w:szCs w:val="20"/>
        </w:rPr>
        <w:t>seen</w:t>
      </w:r>
      <w:proofErr w:type="spellEnd"/>
      <w:r>
        <w:rPr>
          <w:bCs/>
          <w:iCs/>
          <w:color w:val="000000" w:themeColor="text1"/>
          <w:sz w:val="20"/>
          <w:szCs w:val="20"/>
        </w:rPr>
        <w:t xml:space="preserve"> very difficult at least from LTE </w:t>
      </w:r>
      <w:proofErr w:type="spellStart"/>
      <w:r>
        <w:rPr>
          <w:bCs/>
          <w:iCs/>
          <w:color w:val="000000" w:themeColor="text1"/>
          <w:sz w:val="20"/>
          <w:szCs w:val="20"/>
        </w:rPr>
        <w:t>Uu’s</w:t>
      </w:r>
      <w:proofErr w:type="spellEnd"/>
      <w:r>
        <w:rPr>
          <w:bCs/>
          <w:iCs/>
          <w:color w:val="000000" w:themeColor="text1"/>
          <w:sz w:val="20"/>
          <w:szCs w:val="20"/>
        </w:rPr>
        <w:t xml:space="preserve"> perspective, where its UL resources are effectively controlled and scheduled by another RAT / entity. It would not make sense from radio resource, controlling efficiency, power control, system performance and interference coordination perspectives that this operation would exist in practice.</w:t>
      </w:r>
    </w:p>
    <w:p w14:paraId="42F36EBC" w14:textId="77777777" w:rsidR="00F30FD8" w:rsidRPr="006217E2" w:rsidRDefault="00F30FD8" w:rsidP="00F30FD8">
      <w:pPr>
        <w:spacing w:before="120" w:after="120"/>
        <w:rPr>
          <w:b/>
          <w:i/>
          <w:color w:val="000000" w:themeColor="text1"/>
          <w:sz w:val="20"/>
          <w:szCs w:val="20"/>
        </w:rPr>
      </w:pPr>
      <w:r w:rsidRPr="006217E2">
        <w:rPr>
          <w:b/>
          <w:i/>
          <w:color w:val="000000" w:themeColor="text1"/>
          <w:sz w:val="20"/>
          <w:szCs w:val="20"/>
        </w:rPr>
        <w:t>Proposal 2: It is proposed not to consider an operating scenario of NR Uu controlling LTE sidelink while the LTE sidelink is on the same carrier with an LTE Uu.</w:t>
      </w:r>
    </w:p>
    <w:p w14:paraId="0FEC07FA" w14:textId="77777777" w:rsidR="00F30FD8" w:rsidRPr="008548EE" w:rsidRDefault="00F30FD8" w:rsidP="00F30FD8">
      <w:pPr>
        <w:spacing w:before="240" w:after="120"/>
        <w:rPr>
          <w:b/>
          <w:i/>
          <w:color w:val="000000" w:themeColor="text1"/>
          <w:sz w:val="20"/>
          <w:szCs w:val="20"/>
          <w:u w:val="single"/>
        </w:rPr>
      </w:pPr>
      <w:r>
        <w:rPr>
          <w:b/>
          <w:i/>
          <w:color w:val="000000" w:themeColor="text1"/>
          <w:sz w:val="20"/>
          <w:szCs w:val="20"/>
          <w:u w:val="single"/>
        </w:rPr>
        <w:t xml:space="preserve">Scenario 3) </w:t>
      </w:r>
      <w:r w:rsidRPr="008548EE">
        <w:rPr>
          <w:b/>
          <w:i/>
          <w:color w:val="000000" w:themeColor="text1"/>
          <w:sz w:val="20"/>
          <w:szCs w:val="20"/>
          <w:u w:val="single"/>
        </w:rPr>
        <w:t xml:space="preserve">Above scenario 1) and 2) for LTE V2X mode 4 resource allocation </w:t>
      </w:r>
    </w:p>
    <w:p w14:paraId="6CFAC7F3" w14:textId="77777777" w:rsidR="00F30FD8" w:rsidRDefault="00F30FD8" w:rsidP="00F30FD8">
      <w:pPr>
        <w:spacing w:before="120" w:after="120"/>
        <w:rPr>
          <w:bCs/>
          <w:iCs/>
          <w:color w:val="000000" w:themeColor="text1"/>
          <w:sz w:val="20"/>
          <w:szCs w:val="20"/>
        </w:rPr>
      </w:pPr>
      <w:r>
        <w:rPr>
          <w:bCs/>
          <w:iCs/>
          <w:color w:val="000000" w:themeColor="text1"/>
          <w:sz w:val="20"/>
          <w:szCs w:val="20"/>
        </w:rPr>
        <w:lastRenderedPageBreak/>
        <w:t>Since the above scenarios 1) and 2) are deemed impractical and unnecessary from almost all technical, regional frequency regulation, resource control efficiency and 3GPP procedural’s perspectives, LTE V2X mode 4 resource allocation and operation would also consider to be unfeasible.</w:t>
      </w:r>
    </w:p>
    <w:p w14:paraId="6BD5B614" w14:textId="77777777" w:rsidR="00F30FD8" w:rsidRPr="006217E2" w:rsidRDefault="00F30FD8" w:rsidP="00F30FD8">
      <w:pPr>
        <w:spacing w:before="120" w:after="120"/>
        <w:rPr>
          <w:b/>
          <w:i/>
          <w:color w:val="000000" w:themeColor="text1"/>
          <w:sz w:val="20"/>
          <w:szCs w:val="20"/>
        </w:rPr>
      </w:pPr>
      <w:r w:rsidRPr="006217E2">
        <w:rPr>
          <w:b/>
          <w:i/>
          <w:color w:val="000000" w:themeColor="text1"/>
          <w:sz w:val="20"/>
          <w:szCs w:val="20"/>
        </w:rPr>
        <w:t xml:space="preserve">Proposal </w:t>
      </w:r>
      <w:r>
        <w:rPr>
          <w:b/>
          <w:i/>
          <w:color w:val="000000" w:themeColor="text1"/>
          <w:sz w:val="20"/>
          <w:szCs w:val="20"/>
        </w:rPr>
        <w:t>3</w:t>
      </w:r>
      <w:r w:rsidRPr="006217E2">
        <w:rPr>
          <w:b/>
          <w:i/>
          <w:color w:val="000000" w:themeColor="text1"/>
          <w:sz w:val="20"/>
          <w:szCs w:val="20"/>
        </w:rPr>
        <w:t xml:space="preserve">: </w:t>
      </w:r>
      <w:r>
        <w:rPr>
          <w:b/>
          <w:i/>
          <w:color w:val="000000" w:themeColor="text1"/>
          <w:sz w:val="20"/>
          <w:szCs w:val="20"/>
        </w:rPr>
        <w:t>It is proposed not to consider LTE V2X mode 4 resource allocation and operation in a scenario where NR Uu / LTE SL are on the same carrier, and a scenario where LTE Uu / LTE SL are on the same carrier but the LTE SL is controlled by NR Uu from a different carrier.</w:t>
      </w:r>
    </w:p>
    <w:p w14:paraId="00B70066" w14:textId="77777777" w:rsidR="00F30FD8" w:rsidRDefault="00F30FD8" w:rsidP="00F30FD8">
      <w:pPr>
        <w:spacing w:after="120"/>
        <w:rPr>
          <w:b/>
          <w:sz w:val="20"/>
          <w:szCs w:val="20"/>
        </w:rPr>
      </w:pPr>
    </w:p>
    <w:p w14:paraId="07970886" w14:textId="77777777" w:rsidR="00F30FD8" w:rsidRPr="006A58CD" w:rsidRDefault="00F30FD8" w:rsidP="00F30FD8">
      <w:pPr>
        <w:spacing w:after="120"/>
        <w:rPr>
          <w:b/>
          <w:sz w:val="20"/>
          <w:szCs w:val="20"/>
        </w:rPr>
      </w:pPr>
      <w:r w:rsidRPr="006A58CD">
        <w:rPr>
          <w:b/>
          <w:sz w:val="20"/>
          <w:szCs w:val="20"/>
        </w:rPr>
        <w:t>4. Conclusion</w:t>
      </w:r>
    </w:p>
    <w:p w14:paraId="482EAA63" w14:textId="77777777" w:rsidR="00F30FD8" w:rsidRPr="006217E2" w:rsidRDefault="00F30FD8" w:rsidP="00F30FD8">
      <w:pPr>
        <w:pStyle w:val="BodyText"/>
        <w:rPr>
          <w:color w:val="000000" w:themeColor="text1"/>
          <w:sz w:val="20"/>
        </w:rPr>
      </w:pPr>
      <w:r w:rsidRPr="006217E2">
        <w:rPr>
          <w:color w:val="000000" w:themeColor="text1"/>
          <w:sz w:val="20"/>
        </w:rPr>
        <w:t>In this contribution, we discussed the legitimacy of some operating scenarios where NR Uu might be used to control/schedule an LTE SL. Based on the analysis, the following proposals are given.</w:t>
      </w:r>
    </w:p>
    <w:p w14:paraId="414B75AA" w14:textId="77777777" w:rsidR="00F30FD8" w:rsidRPr="00B353EA" w:rsidRDefault="00F30FD8" w:rsidP="00F30FD8">
      <w:pPr>
        <w:pStyle w:val="BodyText"/>
        <w:rPr>
          <w:sz w:val="20"/>
          <w:highlight w:val="yellow"/>
        </w:rPr>
      </w:pPr>
    </w:p>
    <w:p w14:paraId="06EDC6E4" w14:textId="77777777" w:rsidR="00F30FD8" w:rsidRPr="004B2249" w:rsidRDefault="00F30FD8" w:rsidP="00F30FD8">
      <w:pPr>
        <w:spacing w:before="120" w:after="240"/>
        <w:rPr>
          <w:b/>
          <w:i/>
          <w:color w:val="000000" w:themeColor="text1"/>
          <w:sz w:val="20"/>
          <w:szCs w:val="20"/>
        </w:rPr>
      </w:pPr>
      <w:r w:rsidRPr="004B2249">
        <w:rPr>
          <w:b/>
          <w:i/>
          <w:color w:val="000000" w:themeColor="text1"/>
          <w:sz w:val="20"/>
          <w:szCs w:val="20"/>
        </w:rPr>
        <w:t xml:space="preserve">Proposal 1: It is proposed at least in RAN1 and within Rel-16, </w:t>
      </w:r>
      <w:r>
        <w:rPr>
          <w:b/>
          <w:i/>
          <w:color w:val="000000" w:themeColor="text1"/>
          <w:sz w:val="20"/>
          <w:szCs w:val="20"/>
        </w:rPr>
        <w:t>RAN1</w:t>
      </w:r>
      <w:r w:rsidRPr="004B2249">
        <w:rPr>
          <w:b/>
          <w:i/>
          <w:color w:val="000000" w:themeColor="text1"/>
          <w:sz w:val="20"/>
          <w:szCs w:val="20"/>
        </w:rPr>
        <w:t xml:space="preserve"> do</w:t>
      </w:r>
      <w:r>
        <w:rPr>
          <w:b/>
          <w:i/>
          <w:color w:val="000000" w:themeColor="text1"/>
          <w:sz w:val="20"/>
          <w:szCs w:val="20"/>
        </w:rPr>
        <w:t>es</w:t>
      </w:r>
      <w:r w:rsidRPr="004B2249">
        <w:rPr>
          <w:b/>
          <w:i/>
          <w:color w:val="000000" w:themeColor="text1"/>
          <w:sz w:val="20"/>
          <w:szCs w:val="20"/>
        </w:rPr>
        <w:t>n’t consider and discuss again the scenario of NR Uu and LTE SL operating / controlling from one to another on the same carrier.</w:t>
      </w:r>
    </w:p>
    <w:p w14:paraId="6AF3BAEB" w14:textId="77777777" w:rsidR="00F30FD8" w:rsidRPr="006217E2" w:rsidRDefault="00F30FD8" w:rsidP="00F30FD8">
      <w:pPr>
        <w:spacing w:before="120" w:after="240"/>
        <w:rPr>
          <w:b/>
          <w:i/>
          <w:color w:val="000000" w:themeColor="text1"/>
          <w:sz w:val="20"/>
          <w:szCs w:val="20"/>
        </w:rPr>
      </w:pPr>
      <w:r w:rsidRPr="006217E2">
        <w:rPr>
          <w:b/>
          <w:i/>
          <w:color w:val="000000" w:themeColor="text1"/>
          <w:sz w:val="20"/>
          <w:szCs w:val="20"/>
        </w:rPr>
        <w:t>Proposal 2: It is proposed not to consider an operating scenario of NR Uu controlling LTE sidelink while the LTE sidelink is on the same carrier with an LTE Uu.</w:t>
      </w:r>
    </w:p>
    <w:p w14:paraId="0337B233" w14:textId="641B228D" w:rsidR="009F08C4" w:rsidRPr="00F30FD8" w:rsidRDefault="00F30FD8" w:rsidP="00F30FD8">
      <w:pPr>
        <w:spacing w:before="120" w:after="120"/>
        <w:rPr>
          <w:b/>
          <w:i/>
          <w:color w:val="000000" w:themeColor="text1"/>
          <w:sz w:val="20"/>
          <w:szCs w:val="20"/>
        </w:rPr>
      </w:pPr>
      <w:r w:rsidRPr="006217E2">
        <w:rPr>
          <w:b/>
          <w:i/>
          <w:color w:val="000000" w:themeColor="text1"/>
          <w:sz w:val="20"/>
          <w:szCs w:val="20"/>
        </w:rPr>
        <w:t xml:space="preserve">Proposal </w:t>
      </w:r>
      <w:r>
        <w:rPr>
          <w:b/>
          <w:i/>
          <w:color w:val="000000" w:themeColor="text1"/>
          <w:sz w:val="20"/>
          <w:szCs w:val="20"/>
        </w:rPr>
        <w:t>3</w:t>
      </w:r>
      <w:r w:rsidRPr="006217E2">
        <w:rPr>
          <w:b/>
          <w:i/>
          <w:color w:val="000000" w:themeColor="text1"/>
          <w:sz w:val="20"/>
          <w:szCs w:val="20"/>
        </w:rPr>
        <w:t xml:space="preserve">: </w:t>
      </w:r>
      <w:r>
        <w:rPr>
          <w:b/>
          <w:i/>
          <w:color w:val="000000" w:themeColor="text1"/>
          <w:sz w:val="20"/>
          <w:szCs w:val="20"/>
        </w:rPr>
        <w:t>It is proposed not to consider LTE V2X mode 4 resource allocation and operation in a scenario where NR Uu / LTE SL are on the same carrier, and a scenario where LTE Uu / LTE SL are on the same carrier but the LTE SL is controlled by NR Uu from a different carrier.</w:t>
      </w:r>
    </w:p>
    <w:sectPr w:rsidR="009F08C4" w:rsidRPr="00F30FD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C51F7" w14:textId="77777777" w:rsidR="00682771" w:rsidRDefault="00682771" w:rsidP="00511BDE">
      <w:r>
        <w:separator/>
      </w:r>
    </w:p>
  </w:endnote>
  <w:endnote w:type="continuationSeparator" w:id="0">
    <w:p w14:paraId="18DC0DFD" w14:textId="77777777" w:rsidR="00682771" w:rsidRDefault="00682771"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429C8" w14:textId="77777777" w:rsidR="00682771" w:rsidRDefault="00682771" w:rsidP="00511BDE">
      <w:r>
        <w:separator/>
      </w:r>
    </w:p>
  </w:footnote>
  <w:footnote w:type="continuationSeparator" w:id="0">
    <w:p w14:paraId="13DBA38E" w14:textId="77777777" w:rsidR="00682771" w:rsidRDefault="00682771"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2"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1"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3"/>
  </w:num>
  <w:num w:numId="4">
    <w:abstractNumId w:val="15"/>
  </w:num>
  <w:num w:numId="5">
    <w:abstractNumId w:val="4"/>
  </w:num>
  <w:num w:numId="6">
    <w:abstractNumId w:val="15"/>
  </w:num>
  <w:num w:numId="7">
    <w:abstractNumId w:val="15"/>
  </w:num>
  <w:num w:numId="8">
    <w:abstractNumId w:val="15"/>
  </w:num>
  <w:num w:numId="9">
    <w:abstractNumId w:val="15"/>
  </w:num>
  <w:num w:numId="10">
    <w:abstractNumId w:val="21"/>
  </w:num>
  <w:num w:numId="11">
    <w:abstractNumId w:val="25"/>
  </w:num>
  <w:num w:numId="12">
    <w:abstractNumId w:val="0"/>
  </w:num>
  <w:num w:numId="13">
    <w:abstractNumId w:val="1"/>
  </w:num>
  <w:num w:numId="14">
    <w:abstractNumId w:val="17"/>
  </w:num>
  <w:num w:numId="15">
    <w:abstractNumId w:val="18"/>
  </w:num>
  <w:num w:numId="16">
    <w:abstractNumId w:val="12"/>
  </w:num>
  <w:num w:numId="17">
    <w:abstractNumId w:val="10"/>
  </w:num>
  <w:num w:numId="18">
    <w:abstractNumId w:val="27"/>
  </w:num>
  <w:num w:numId="19">
    <w:abstractNumId w:val="29"/>
  </w:num>
  <w:num w:numId="20">
    <w:abstractNumId w:val="11"/>
  </w:num>
  <w:num w:numId="21">
    <w:abstractNumId w:val="30"/>
  </w:num>
  <w:num w:numId="22">
    <w:abstractNumId w:val="26"/>
  </w:num>
  <w:num w:numId="23">
    <w:abstractNumId w:val="28"/>
  </w:num>
  <w:num w:numId="24">
    <w:abstractNumId w:val="5"/>
  </w:num>
  <w:num w:numId="25">
    <w:abstractNumId w:val="22"/>
  </w:num>
  <w:num w:numId="26">
    <w:abstractNumId w:val="7"/>
  </w:num>
  <w:num w:numId="27">
    <w:abstractNumId w:val="14"/>
  </w:num>
  <w:num w:numId="28">
    <w:abstractNumId w:val="20"/>
  </w:num>
  <w:num w:numId="29">
    <w:abstractNumId w:val="3"/>
  </w:num>
  <w:num w:numId="30">
    <w:abstractNumId w:val="13"/>
  </w:num>
  <w:num w:numId="31">
    <w:abstractNumId w:val="19"/>
  </w:num>
  <w:num w:numId="32">
    <w:abstractNumId w:val="2"/>
  </w:num>
  <w:num w:numId="33">
    <w:abstractNumId w:val="16"/>
  </w:num>
  <w:num w:numId="34">
    <w:abstractNumId w:val="6"/>
  </w:num>
  <w:num w:numId="35">
    <w:abstractNumId w:val="3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25668"/>
    <w:rsid w:val="00036438"/>
    <w:rsid w:val="000416C0"/>
    <w:rsid w:val="00046E6C"/>
    <w:rsid w:val="000606B7"/>
    <w:rsid w:val="000646BE"/>
    <w:rsid w:val="000824A2"/>
    <w:rsid w:val="00095CF1"/>
    <w:rsid w:val="00096409"/>
    <w:rsid w:val="000A2AA1"/>
    <w:rsid w:val="000A7BDE"/>
    <w:rsid w:val="000B1A8E"/>
    <w:rsid w:val="000C4FD2"/>
    <w:rsid w:val="000E23FD"/>
    <w:rsid w:val="000F4718"/>
    <w:rsid w:val="001027FC"/>
    <w:rsid w:val="001110C2"/>
    <w:rsid w:val="0011674C"/>
    <w:rsid w:val="0011719E"/>
    <w:rsid w:val="00122C28"/>
    <w:rsid w:val="001234F4"/>
    <w:rsid w:val="00132CA4"/>
    <w:rsid w:val="0013394A"/>
    <w:rsid w:val="00140CD4"/>
    <w:rsid w:val="00156000"/>
    <w:rsid w:val="00160871"/>
    <w:rsid w:val="00172616"/>
    <w:rsid w:val="0017666C"/>
    <w:rsid w:val="00183059"/>
    <w:rsid w:val="0018639A"/>
    <w:rsid w:val="0019045B"/>
    <w:rsid w:val="001A4177"/>
    <w:rsid w:val="001C4931"/>
    <w:rsid w:val="001C4A2A"/>
    <w:rsid w:val="001D18BB"/>
    <w:rsid w:val="001D6275"/>
    <w:rsid w:val="001E06F9"/>
    <w:rsid w:val="001E0F32"/>
    <w:rsid w:val="001E6977"/>
    <w:rsid w:val="001F5429"/>
    <w:rsid w:val="002010A4"/>
    <w:rsid w:val="00204D5B"/>
    <w:rsid w:val="00210230"/>
    <w:rsid w:val="002232D9"/>
    <w:rsid w:val="00224DF7"/>
    <w:rsid w:val="00225FD1"/>
    <w:rsid w:val="00227A56"/>
    <w:rsid w:val="002347E5"/>
    <w:rsid w:val="002512F3"/>
    <w:rsid w:val="00256176"/>
    <w:rsid w:val="00262374"/>
    <w:rsid w:val="00262DA4"/>
    <w:rsid w:val="002636A9"/>
    <w:rsid w:val="00282ADD"/>
    <w:rsid w:val="00290D60"/>
    <w:rsid w:val="00290F4A"/>
    <w:rsid w:val="0029575A"/>
    <w:rsid w:val="0029653E"/>
    <w:rsid w:val="002A0897"/>
    <w:rsid w:val="002A09BD"/>
    <w:rsid w:val="002A4183"/>
    <w:rsid w:val="002A6143"/>
    <w:rsid w:val="002B16EA"/>
    <w:rsid w:val="002D117C"/>
    <w:rsid w:val="002D7837"/>
    <w:rsid w:val="002E11B6"/>
    <w:rsid w:val="002F480D"/>
    <w:rsid w:val="00307A16"/>
    <w:rsid w:val="00311E4D"/>
    <w:rsid w:val="0031286C"/>
    <w:rsid w:val="00313701"/>
    <w:rsid w:val="00316B82"/>
    <w:rsid w:val="00322BBF"/>
    <w:rsid w:val="00327432"/>
    <w:rsid w:val="003524E5"/>
    <w:rsid w:val="003811E4"/>
    <w:rsid w:val="00381AD4"/>
    <w:rsid w:val="00386154"/>
    <w:rsid w:val="00390468"/>
    <w:rsid w:val="00395A18"/>
    <w:rsid w:val="003A1784"/>
    <w:rsid w:val="003A4353"/>
    <w:rsid w:val="003A74CD"/>
    <w:rsid w:val="003C70F9"/>
    <w:rsid w:val="003E02C8"/>
    <w:rsid w:val="003F01D2"/>
    <w:rsid w:val="003F30AA"/>
    <w:rsid w:val="00407980"/>
    <w:rsid w:val="00420F6D"/>
    <w:rsid w:val="00421776"/>
    <w:rsid w:val="00422185"/>
    <w:rsid w:val="00422D2B"/>
    <w:rsid w:val="004263F7"/>
    <w:rsid w:val="00436D20"/>
    <w:rsid w:val="00437571"/>
    <w:rsid w:val="00443FFF"/>
    <w:rsid w:val="004443AC"/>
    <w:rsid w:val="00446597"/>
    <w:rsid w:val="004547F5"/>
    <w:rsid w:val="004601A2"/>
    <w:rsid w:val="004630F7"/>
    <w:rsid w:val="00472914"/>
    <w:rsid w:val="00472CC7"/>
    <w:rsid w:val="004753C3"/>
    <w:rsid w:val="00476B10"/>
    <w:rsid w:val="00484DFD"/>
    <w:rsid w:val="004919B6"/>
    <w:rsid w:val="004A03BC"/>
    <w:rsid w:val="004B2249"/>
    <w:rsid w:val="004B2974"/>
    <w:rsid w:val="004B302E"/>
    <w:rsid w:val="004D595C"/>
    <w:rsid w:val="004E7C9C"/>
    <w:rsid w:val="004F16DA"/>
    <w:rsid w:val="004F35D2"/>
    <w:rsid w:val="004F4ABD"/>
    <w:rsid w:val="0050292C"/>
    <w:rsid w:val="0051049B"/>
    <w:rsid w:val="00511BDE"/>
    <w:rsid w:val="00512895"/>
    <w:rsid w:val="00523A4F"/>
    <w:rsid w:val="00535D66"/>
    <w:rsid w:val="00536FA5"/>
    <w:rsid w:val="00545636"/>
    <w:rsid w:val="005532B9"/>
    <w:rsid w:val="00553532"/>
    <w:rsid w:val="005601BB"/>
    <w:rsid w:val="00561A1F"/>
    <w:rsid w:val="00563CA3"/>
    <w:rsid w:val="00570C83"/>
    <w:rsid w:val="0058130A"/>
    <w:rsid w:val="00582FFA"/>
    <w:rsid w:val="00586FAC"/>
    <w:rsid w:val="0059271B"/>
    <w:rsid w:val="00594422"/>
    <w:rsid w:val="005A2293"/>
    <w:rsid w:val="005A3678"/>
    <w:rsid w:val="005B2729"/>
    <w:rsid w:val="005B4285"/>
    <w:rsid w:val="005B5979"/>
    <w:rsid w:val="005C288B"/>
    <w:rsid w:val="005C7D1E"/>
    <w:rsid w:val="005D1637"/>
    <w:rsid w:val="005E3141"/>
    <w:rsid w:val="00606B8B"/>
    <w:rsid w:val="006217E2"/>
    <w:rsid w:val="00622721"/>
    <w:rsid w:val="00624E53"/>
    <w:rsid w:val="006251B5"/>
    <w:rsid w:val="0063046B"/>
    <w:rsid w:val="00631E16"/>
    <w:rsid w:val="006432B0"/>
    <w:rsid w:val="00647615"/>
    <w:rsid w:val="00655F5A"/>
    <w:rsid w:val="006749EC"/>
    <w:rsid w:val="00677F23"/>
    <w:rsid w:val="00682771"/>
    <w:rsid w:val="00686047"/>
    <w:rsid w:val="00686CD4"/>
    <w:rsid w:val="00695CCB"/>
    <w:rsid w:val="006A2CAC"/>
    <w:rsid w:val="006A51DC"/>
    <w:rsid w:val="006A58CD"/>
    <w:rsid w:val="006B4A2B"/>
    <w:rsid w:val="006D38B7"/>
    <w:rsid w:val="006D4CD1"/>
    <w:rsid w:val="006E0CEC"/>
    <w:rsid w:val="006E1142"/>
    <w:rsid w:val="006F5CF2"/>
    <w:rsid w:val="007069E1"/>
    <w:rsid w:val="00714BC5"/>
    <w:rsid w:val="0071547E"/>
    <w:rsid w:val="00723C4C"/>
    <w:rsid w:val="00740B19"/>
    <w:rsid w:val="00747683"/>
    <w:rsid w:val="00756A23"/>
    <w:rsid w:val="007579A2"/>
    <w:rsid w:val="0076660D"/>
    <w:rsid w:val="007736BB"/>
    <w:rsid w:val="00780E1A"/>
    <w:rsid w:val="007838AC"/>
    <w:rsid w:val="007871BD"/>
    <w:rsid w:val="00797939"/>
    <w:rsid w:val="007A15B3"/>
    <w:rsid w:val="007A430C"/>
    <w:rsid w:val="007A787E"/>
    <w:rsid w:val="007B0977"/>
    <w:rsid w:val="007C0507"/>
    <w:rsid w:val="007C39F8"/>
    <w:rsid w:val="007D6B9A"/>
    <w:rsid w:val="007E0507"/>
    <w:rsid w:val="007E4754"/>
    <w:rsid w:val="00814F41"/>
    <w:rsid w:val="00821B08"/>
    <w:rsid w:val="0082635C"/>
    <w:rsid w:val="00842B4E"/>
    <w:rsid w:val="00843929"/>
    <w:rsid w:val="008466AB"/>
    <w:rsid w:val="00852251"/>
    <w:rsid w:val="008542F0"/>
    <w:rsid w:val="008548EE"/>
    <w:rsid w:val="0086661D"/>
    <w:rsid w:val="0086720B"/>
    <w:rsid w:val="00867503"/>
    <w:rsid w:val="00867E6A"/>
    <w:rsid w:val="0087035C"/>
    <w:rsid w:val="0087257C"/>
    <w:rsid w:val="00873221"/>
    <w:rsid w:val="008939A5"/>
    <w:rsid w:val="008A335B"/>
    <w:rsid w:val="008A5454"/>
    <w:rsid w:val="008A670B"/>
    <w:rsid w:val="008B7BA5"/>
    <w:rsid w:val="008C041D"/>
    <w:rsid w:val="008C3113"/>
    <w:rsid w:val="008E12E9"/>
    <w:rsid w:val="008F22BA"/>
    <w:rsid w:val="008F6F85"/>
    <w:rsid w:val="009015A9"/>
    <w:rsid w:val="00905B49"/>
    <w:rsid w:val="00915471"/>
    <w:rsid w:val="00923CFE"/>
    <w:rsid w:val="00932048"/>
    <w:rsid w:val="009355A5"/>
    <w:rsid w:val="009408CB"/>
    <w:rsid w:val="009452C1"/>
    <w:rsid w:val="00947377"/>
    <w:rsid w:val="00947BB5"/>
    <w:rsid w:val="00980EE0"/>
    <w:rsid w:val="0098464D"/>
    <w:rsid w:val="009962B2"/>
    <w:rsid w:val="009973A1"/>
    <w:rsid w:val="009A2560"/>
    <w:rsid w:val="009A5DA5"/>
    <w:rsid w:val="009B1DF9"/>
    <w:rsid w:val="009B1F2E"/>
    <w:rsid w:val="009B3062"/>
    <w:rsid w:val="009B6543"/>
    <w:rsid w:val="009C3461"/>
    <w:rsid w:val="009C5678"/>
    <w:rsid w:val="009C79F1"/>
    <w:rsid w:val="009D1E50"/>
    <w:rsid w:val="009D2DC7"/>
    <w:rsid w:val="009D7E42"/>
    <w:rsid w:val="009F08C4"/>
    <w:rsid w:val="009F1A8D"/>
    <w:rsid w:val="009F27EF"/>
    <w:rsid w:val="009F3F8F"/>
    <w:rsid w:val="009F5D5D"/>
    <w:rsid w:val="00A028D8"/>
    <w:rsid w:val="00A03E4B"/>
    <w:rsid w:val="00A34419"/>
    <w:rsid w:val="00A37703"/>
    <w:rsid w:val="00A40928"/>
    <w:rsid w:val="00A42D3B"/>
    <w:rsid w:val="00A51B85"/>
    <w:rsid w:val="00A52CFF"/>
    <w:rsid w:val="00A54461"/>
    <w:rsid w:val="00A559E1"/>
    <w:rsid w:val="00A56438"/>
    <w:rsid w:val="00A6343C"/>
    <w:rsid w:val="00A71DA6"/>
    <w:rsid w:val="00A7376F"/>
    <w:rsid w:val="00A73D0D"/>
    <w:rsid w:val="00A74298"/>
    <w:rsid w:val="00A75446"/>
    <w:rsid w:val="00A76D8F"/>
    <w:rsid w:val="00A82BB2"/>
    <w:rsid w:val="00A8338A"/>
    <w:rsid w:val="00A956A2"/>
    <w:rsid w:val="00A9698A"/>
    <w:rsid w:val="00AA051F"/>
    <w:rsid w:val="00AA57E5"/>
    <w:rsid w:val="00AB022F"/>
    <w:rsid w:val="00AB4A92"/>
    <w:rsid w:val="00AC031E"/>
    <w:rsid w:val="00AC3DEB"/>
    <w:rsid w:val="00AC5E18"/>
    <w:rsid w:val="00AD1673"/>
    <w:rsid w:val="00AE38BB"/>
    <w:rsid w:val="00AE3D30"/>
    <w:rsid w:val="00AF683C"/>
    <w:rsid w:val="00AF7B90"/>
    <w:rsid w:val="00AF7D73"/>
    <w:rsid w:val="00B04603"/>
    <w:rsid w:val="00B066C3"/>
    <w:rsid w:val="00B076E7"/>
    <w:rsid w:val="00B22099"/>
    <w:rsid w:val="00B23EA2"/>
    <w:rsid w:val="00B30E14"/>
    <w:rsid w:val="00B353EA"/>
    <w:rsid w:val="00B4302D"/>
    <w:rsid w:val="00B46F4A"/>
    <w:rsid w:val="00B50FA5"/>
    <w:rsid w:val="00B516E2"/>
    <w:rsid w:val="00B63125"/>
    <w:rsid w:val="00B72B9C"/>
    <w:rsid w:val="00B73030"/>
    <w:rsid w:val="00B91216"/>
    <w:rsid w:val="00B94420"/>
    <w:rsid w:val="00BB1780"/>
    <w:rsid w:val="00BB1965"/>
    <w:rsid w:val="00BB61A5"/>
    <w:rsid w:val="00BC0557"/>
    <w:rsid w:val="00BD2B3D"/>
    <w:rsid w:val="00BD6D85"/>
    <w:rsid w:val="00BE2478"/>
    <w:rsid w:val="00BE2A3B"/>
    <w:rsid w:val="00BE4DC5"/>
    <w:rsid w:val="00C013C8"/>
    <w:rsid w:val="00C049D1"/>
    <w:rsid w:val="00C144FC"/>
    <w:rsid w:val="00C26A2D"/>
    <w:rsid w:val="00C305C2"/>
    <w:rsid w:val="00C31FF2"/>
    <w:rsid w:val="00C352D1"/>
    <w:rsid w:val="00C35EC9"/>
    <w:rsid w:val="00C37F0F"/>
    <w:rsid w:val="00C412C7"/>
    <w:rsid w:val="00C51B72"/>
    <w:rsid w:val="00C5569D"/>
    <w:rsid w:val="00C65F81"/>
    <w:rsid w:val="00C9675E"/>
    <w:rsid w:val="00CA0AA3"/>
    <w:rsid w:val="00CA5F3B"/>
    <w:rsid w:val="00CB2B91"/>
    <w:rsid w:val="00CC051B"/>
    <w:rsid w:val="00CC7811"/>
    <w:rsid w:val="00CD6606"/>
    <w:rsid w:val="00CD6B1B"/>
    <w:rsid w:val="00CD7525"/>
    <w:rsid w:val="00CE1122"/>
    <w:rsid w:val="00CE577E"/>
    <w:rsid w:val="00CF0B12"/>
    <w:rsid w:val="00D03439"/>
    <w:rsid w:val="00D03C39"/>
    <w:rsid w:val="00D12DF2"/>
    <w:rsid w:val="00D1518D"/>
    <w:rsid w:val="00D22BB4"/>
    <w:rsid w:val="00D3245A"/>
    <w:rsid w:val="00D34D2E"/>
    <w:rsid w:val="00D435E6"/>
    <w:rsid w:val="00D562C7"/>
    <w:rsid w:val="00D715A7"/>
    <w:rsid w:val="00D71A65"/>
    <w:rsid w:val="00D71B94"/>
    <w:rsid w:val="00D817AF"/>
    <w:rsid w:val="00D91153"/>
    <w:rsid w:val="00D92E2E"/>
    <w:rsid w:val="00DA4FAB"/>
    <w:rsid w:val="00DA5222"/>
    <w:rsid w:val="00DB2D42"/>
    <w:rsid w:val="00DC1F83"/>
    <w:rsid w:val="00DC39EC"/>
    <w:rsid w:val="00DD2240"/>
    <w:rsid w:val="00DE619F"/>
    <w:rsid w:val="00DE6987"/>
    <w:rsid w:val="00DF207B"/>
    <w:rsid w:val="00DF790C"/>
    <w:rsid w:val="00E06FEF"/>
    <w:rsid w:val="00E10019"/>
    <w:rsid w:val="00E118B0"/>
    <w:rsid w:val="00E14C15"/>
    <w:rsid w:val="00E15ABB"/>
    <w:rsid w:val="00E23402"/>
    <w:rsid w:val="00E25F8F"/>
    <w:rsid w:val="00E339F4"/>
    <w:rsid w:val="00E61E35"/>
    <w:rsid w:val="00E64289"/>
    <w:rsid w:val="00E64515"/>
    <w:rsid w:val="00E926B4"/>
    <w:rsid w:val="00E93218"/>
    <w:rsid w:val="00E96E5D"/>
    <w:rsid w:val="00EB013E"/>
    <w:rsid w:val="00EC7F7E"/>
    <w:rsid w:val="00ED5069"/>
    <w:rsid w:val="00EE3CC6"/>
    <w:rsid w:val="00EE40AD"/>
    <w:rsid w:val="00EF0257"/>
    <w:rsid w:val="00EF6EF2"/>
    <w:rsid w:val="00F04F5B"/>
    <w:rsid w:val="00F10BED"/>
    <w:rsid w:val="00F12B44"/>
    <w:rsid w:val="00F140EB"/>
    <w:rsid w:val="00F20722"/>
    <w:rsid w:val="00F30FD8"/>
    <w:rsid w:val="00F43AB1"/>
    <w:rsid w:val="00F445AF"/>
    <w:rsid w:val="00F52ACA"/>
    <w:rsid w:val="00F5580C"/>
    <w:rsid w:val="00F5749B"/>
    <w:rsid w:val="00F66C98"/>
    <w:rsid w:val="00F74160"/>
    <w:rsid w:val="00F743E3"/>
    <w:rsid w:val="00F74466"/>
    <w:rsid w:val="00F92EC0"/>
    <w:rsid w:val="00F95D08"/>
    <w:rsid w:val="00FA0D39"/>
    <w:rsid w:val="00FA1B27"/>
    <w:rsid w:val="00FA5B50"/>
    <w:rsid w:val="00FB6004"/>
    <w:rsid w:val="00FC2FFE"/>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qFormat/>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411543893">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42DB6-AC42-44DB-97FB-8F8311638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Remaining open issues in NR Uu controlling LTE sidelink</vt:lpstr>
    </vt:vector>
  </TitlesOfParts>
  <Company>Guangdong OPPO Mobile Telecom</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in NR Uu controlling LTE sidelink</dc:title>
  <dc:subject>NR-V2X</dc:subject>
  <dc:creator>Kevin.Lin@oppo.com</dc:creator>
  <cp:keywords>RAN1#102-e</cp:keywords>
  <dc:description>Final version for submission</dc:description>
  <cp:lastModifiedBy>Kevin Lin</cp:lastModifiedBy>
  <cp:revision>17</cp:revision>
  <cp:lastPrinted>2020-02-08T03:10:00Z</cp:lastPrinted>
  <dcterms:created xsi:type="dcterms:W3CDTF">2020-05-11T06:32:00Z</dcterms:created>
  <dcterms:modified xsi:type="dcterms:W3CDTF">2020-08-06T09:12:00Z</dcterms:modified>
  <cp:category>QoS management</cp:category>
</cp:coreProperties>
</file>